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0E2C" w14:textId="77777777" w:rsidR="009F51FA" w:rsidRPr="00335618" w:rsidRDefault="009F0554" w:rsidP="00335618">
      <w:pPr>
        <w:spacing w:line="211" w:lineRule="auto"/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</w:pPr>
      <w:r w:rsidRPr="00335618"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  <w:t>A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  <w:t>PPROFONDIMENTO SULLA TRACCIABILITA' DEI PAGAMENTI</w:t>
      </w:r>
    </w:p>
    <w:p w14:paraId="3C4A7D56" w14:textId="77777777" w:rsidR="009F51FA" w:rsidRPr="00335618" w:rsidRDefault="00264F92" w:rsidP="00335618">
      <w:pPr>
        <w:jc w:val="both"/>
        <w:rPr>
          <w:rFonts w:ascii="Times New Roman" w:hAnsi="Times New Roman"/>
          <w:color w:val="000000"/>
          <w:spacing w:val="17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 xml:space="preserve">A partire </w:t>
      </w:r>
      <w:r w:rsidRPr="00335618">
        <w:rPr>
          <w:rFonts w:ascii="Times New Roman" w:hAnsi="Times New Roman"/>
          <w:b/>
          <w:color w:val="000000"/>
          <w:spacing w:val="17"/>
          <w:sz w:val="24"/>
          <w:szCs w:val="24"/>
          <w:lang w:val="it-IT"/>
        </w:rPr>
        <w:t xml:space="preserve">dal 1° gennaio 2020 </w:t>
      </w: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 xml:space="preserve">è entrato in vigore l'obbligo di </w:t>
      </w:r>
      <w:r w:rsidRPr="00335618">
        <w:rPr>
          <w:rFonts w:ascii="Times New Roman" w:hAnsi="Times New Roman"/>
          <w:b/>
          <w:color w:val="000000"/>
          <w:spacing w:val="17"/>
          <w:sz w:val="24"/>
          <w:szCs w:val="24"/>
          <w:lang w:val="it-IT"/>
        </w:rPr>
        <w:t xml:space="preserve">pagamento con mezzi </w:t>
      </w:r>
      <w:r w:rsidRPr="00335618">
        <w:rPr>
          <w:rFonts w:ascii="Times New Roman" w:hAnsi="Times New Roman"/>
          <w:b/>
          <w:color w:val="000000"/>
          <w:spacing w:val="15"/>
          <w:sz w:val="24"/>
          <w:szCs w:val="24"/>
          <w:lang w:val="it-IT"/>
        </w:rPr>
        <w:t xml:space="preserve">tracciabili per usufruire </w:t>
      </w:r>
      <w:r w:rsidRPr="00335618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della detrazione prevista nella misura </w:t>
      </w:r>
      <w:r w:rsidRPr="00335618">
        <w:rPr>
          <w:rFonts w:ascii="Times New Roman" w:hAnsi="Times New Roman"/>
          <w:b/>
          <w:color w:val="000000"/>
          <w:spacing w:val="15"/>
          <w:sz w:val="24"/>
          <w:szCs w:val="24"/>
          <w:lang w:val="it-IT"/>
        </w:rPr>
        <w:t xml:space="preserve">del 19%, degli oneri di </w:t>
      </w:r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 xml:space="preserve">cui all'art.15 del </w:t>
      </w:r>
      <w:proofErr w:type="spellStart"/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>Tuir</w:t>
      </w:r>
      <w:proofErr w:type="spellEnd"/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>.</w:t>
      </w:r>
    </w:p>
    <w:p w14:paraId="10B70D6F" w14:textId="77777777" w:rsidR="00A750CD" w:rsidRDefault="00A750CD" w:rsidP="00335618">
      <w:pPr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</w:p>
    <w:p w14:paraId="598B0FD9" w14:textId="77777777" w:rsidR="009F51FA" w:rsidRPr="00335618" w:rsidRDefault="00264F92" w:rsidP="00335618">
      <w:pPr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La tracciabilità viene applicata per tali spese:</w:t>
      </w:r>
    </w:p>
    <w:p w14:paraId="46EBDE5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Gli interessi per mutui ipotecari per acquisto immobili</w:t>
      </w:r>
    </w:p>
    <w:p w14:paraId="61BD4F4C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28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8"/>
          <w:sz w:val="24"/>
          <w:szCs w:val="24"/>
          <w:lang w:val="it-IT"/>
        </w:rPr>
        <w:t>Le spese per istruzione</w:t>
      </w:r>
    </w:p>
    <w:p w14:paraId="36981072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Le spese funebri</w:t>
      </w:r>
    </w:p>
    <w:p w14:paraId="02BBA63B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Le spese per l'assistenza personale</w:t>
      </w:r>
    </w:p>
    <w:p w14:paraId="73E4DD7A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1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1"/>
          <w:sz w:val="24"/>
          <w:szCs w:val="24"/>
          <w:lang w:val="it-IT"/>
        </w:rPr>
        <w:t>Le spese per attività sportive per ragazzi</w:t>
      </w:r>
    </w:p>
    <w:p w14:paraId="2E118C6E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22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2"/>
          <w:sz w:val="24"/>
          <w:szCs w:val="24"/>
          <w:lang w:val="it-IT"/>
        </w:rPr>
        <w:t>Le spese per intermediazione immobiliare</w:t>
      </w:r>
    </w:p>
    <w:p w14:paraId="7245332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19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>Le spese per canoni di locazione sostenute da studenti universitari fuori sede</w:t>
      </w:r>
    </w:p>
    <w:p w14:paraId="63C814D1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Le erogazioni liberali</w:t>
      </w:r>
    </w:p>
    <w:p w14:paraId="0DD371DE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7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>Le spese relative a beni soggetti a regime vincolistico</w:t>
      </w:r>
    </w:p>
    <w:p w14:paraId="03C40042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Le spese veterinarie</w:t>
      </w:r>
    </w:p>
    <w:p w14:paraId="114A96B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>I premi per assicurazioni sulla vita e contro gli infortuni</w:t>
      </w:r>
    </w:p>
    <w:p w14:paraId="7584501A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ind w:right="72" w:hanging="360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4"/>
          <w:sz w:val="24"/>
          <w:szCs w:val="24"/>
          <w:lang w:val="it-IT"/>
        </w:rPr>
        <w:t xml:space="preserve">Le spese sostenute per l'acquisto di abbonamenti ai servizi di trasporto pubblico </w:t>
      </w:r>
      <w:r w:rsidRPr="00335618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locale, regionale e interregionale.</w:t>
      </w:r>
    </w:p>
    <w:p w14:paraId="7001F80B" w14:textId="77777777" w:rsidR="00A750CD" w:rsidRDefault="00A750CD" w:rsidP="00335618">
      <w:pPr>
        <w:spacing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1695AEEA" w14:textId="77777777" w:rsidR="009F51FA" w:rsidRPr="00335618" w:rsidRDefault="00264F92" w:rsidP="00335618">
      <w:pPr>
        <w:spacing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z w:val="24"/>
          <w:szCs w:val="24"/>
          <w:lang w:val="it-IT"/>
        </w:rPr>
        <w:t xml:space="preserve">Fanno </w:t>
      </w:r>
      <w:r w:rsidRPr="00335618">
        <w:rPr>
          <w:rFonts w:ascii="Times New Roman" w:hAnsi="Times New Roman"/>
          <w:b/>
          <w:color w:val="000000"/>
          <w:w w:val="125"/>
          <w:sz w:val="24"/>
          <w:szCs w:val="24"/>
          <w:u w:val="single"/>
          <w:lang w:val="it-IT"/>
        </w:rPr>
        <w:t>eccezione:</w:t>
      </w:r>
    </w:p>
    <w:p w14:paraId="076416A9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Le spese per i medicinali</w:t>
      </w:r>
    </w:p>
    <w:p w14:paraId="25C60818" w14:textId="77777777" w:rsidR="009F51FA" w:rsidRPr="00335618" w:rsidRDefault="00264F92" w:rsidP="00335618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I dispositivi medici</w:t>
      </w:r>
    </w:p>
    <w:p w14:paraId="39314B20" w14:textId="77777777" w:rsidR="009F51FA" w:rsidRPr="00335618" w:rsidRDefault="00264F92" w:rsidP="00335618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11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Le prestazioni sanitarie rese da strutture pubbliche o private convenzionate con il </w:t>
      </w:r>
      <w:r w:rsidRPr="00335618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Servizio Sanitario Nazionale</w:t>
      </w:r>
    </w:p>
    <w:p w14:paraId="331BCC43" w14:textId="77777777" w:rsidR="009F51FA" w:rsidRPr="00335618" w:rsidRDefault="00264F92" w:rsidP="00335618">
      <w:pPr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che potranno continuare ad essere effettuate in </w:t>
      </w:r>
      <w:r w:rsidRPr="00335618">
        <w:rPr>
          <w:rFonts w:ascii="Times New Roman" w:hAnsi="Times New Roman"/>
          <w:b/>
          <w:color w:val="000000"/>
          <w:spacing w:val="16"/>
          <w:sz w:val="24"/>
          <w:szCs w:val="24"/>
          <w:lang w:val="it-IT"/>
        </w:rPr>
        <w:t>contanti.</w:t>
      </w:r>
    </w:p>
    <w:p w14:paraId="4C7804AD" w14:textId="77F840EE" w:rsidR="009F51FA" w:rsidRPr="00335618" w:rsidRDefault="00264F92" w:rsidP="00335618">
      <w:pPr>
        <w:ind w:left="72"/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</w:pPr>
      <w:r w:rsidRPr="00335618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>Nel 730/202</w:t>
      </w:r>
      <w:r w:rsidR="0062645B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>4</w:t>
      </w:r>
      <w:r w:rsidRPr="00335618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 xml:space="preserve"> </w:t>
      </w:r>
      <w:r w:rsidRPr="00335618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si potrà pertanto beneficiare della detrazione per oneri sostenuti </w:t>
      </w:r>
      <w:r w:rsidRPr="00335618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(tra </w:t>
      </w:r>
      <w:r w:rsidRPr="00335618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quelli </w:t>
      </w:r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 xml:space="preserve">elencati dall'Art.15 </w:t>
      </w:r>
      <w:proofErr w:type="spellStart"/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>Tuir</w:t>
      </w:r>
      <w:proofErr w:type="spellEnd"/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>) se il pagamento è effettuato tramite:</w:t>
      </w:r>
    </w:p>
    <w:p w14:paraId="33582EA0" w14:textId="1BAB8EAD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Bonifico bancario/postale</w:t>
      </w:r>
    </w:p>
    <w:p w14:paraId="5901786E" w14:textId="77777777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Carte di credito (acquisire l'estratto conto della carta per individuare i soggetti coinvolti, </w:t>
      </w:r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non essendo sufficiente la ricevuta </w:t>
      </w:r>
      <w:proofErr w:type="spellStart"/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>)</w:t>
      </w:r>
    </w:p>
    <w:p w14:paraId="2875F8AB" w14:textId="1BAEED0E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Assegno bancario/circolare</w:t>
      </w:r>
    </w:p>
    <w:p w14:paraId="50D17064" w14:textId="77777777" w:rsidR="009F51FA" w:rsidRPr="00A750CD" w:rsidRDefault="00264F92" w:rsidP="00A750CD">
      <w:pPr>
        <w:pStyle w:val="Paragrafoelenco"/>
        <w:numPr>
          <w:ilvl w:val="0"/>
          <w:numId w:val="4"/>
        </w:numPr>
        <w:spacing w:line="216" w:lineRule="auto"/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 xml:space="preserve">Bancomat (acquisire la ricevuta </w:t>
      </w:r>
      <w:proofErr w:type="spellStart"/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 xml:space="preserve"> ma si consiglia l'esibizione anche dell'estratto conto bancario collegato)</w:t>
      </w:r>
    </w:p>
    <w:p w14:paraId="0DD195FB" w14:textId="77777777" w:rsidR="009F51FA" w:rsidRPr="00A750CD" w:rsidRDefault="00264F92" w:rsidP="00A750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App: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Paypal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o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Satispay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(non è necessario il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ma l'estratto conto del mezzo elettronico, </w:t>
      </w:r>
      <w:r w:rsidRPr="00A750CD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 xml:space="preserve">se disponibile, o la stampa della ricevuta elettronica della transazione in cui siano </w:t>
      </w:r>
      <w:r w:rsidRPr="00A750CD">
        <w:rPr>
          <w:rFonts w:ascii="Times New Roman" w:hAnsi="Times New Roman"/>
          <w:i/>
          <w:color w:val="000000"/>
          <w:spacing w:val="3"/>
          <w:sz w:val="24"/>
          <w:szCs w:val="24"/>
          <w:lang w:val="it-IT"/>
        </w:rPr>
        <w:t>identificati i soggetti coinvolti)</w:t>
      </w:r>
    </w:p>
    <w:p w14:paraId="3C737601" w14:textId="77777777" w:rsidR="00A750CD" w:rsidRDefault="00A750CD" w:rsidP="00335618">
      <w:pPr>
        <w:ind w:left="72"/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</w:p>
    <w:p w14:paraId="3482EA91" w14:textId="77777777" w:rsidR="009F51FA" w:rsidRPr="00335618" w:rsidRDefault="00A750CD" w:rsidP="00335618">
      <w:pPr>
        <w:ind w:left="72"/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Il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 contribuente </w:t>
      </w:r>
      <w:r w:rsidR="00264F92" w:rsidRPr="00335618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potrà dimostrare, 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laddove non indicato esplicitamente in fattura/ricevuta, </w:t>
      </w:r>
      <w:r w:rsidR="00264F92" w:rsidRPr="00335618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 xml:space="preserve">l'utilizzo del mezzo di </w:t>
      </w:r>
      <w:r w:rsidR="00264F92" w:rsidRPr="00335618">
        <w:rPr>
          <w:rFonts w:ascii="Times New Roman" w:hAnsi="Times New Roman"/>
          <w:b/>
          <w:i/>
          <w:color w:val="000000"/>
          <w:spacing w:val="9"/>
          <w:sz w:val="24"/>
          <w:szCs w:val="24"/>
          <w:lang w:val="it-IT"/>
        </w:rPr>
        <w:t xml:space="preserve">pagamento "tracciabile" </w:t>
      </w:r>
      <w:r w:rsidR="00264F92" w:rsidRPr="00335618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>attraverso:</w:t>
      </w:r>
    </w:p>
    <w:p w14:paraId="1D6D8D3A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  <w:t>Prova cartacea della transazione/ pagamento con ricevuta bancomat</w:t>
      </w:r>
    </w:p>
    <w:p w14:paraId="0ECFA7AA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spacing w:line="203" w:lineRule="exact"/>
        <w:ind w:left="360"/>
        <w:rPr>
          <w:rFonts w:ascii="Times New Roman" w:hAnsi="Times New Roman"/>
          <w:i/>
          <w:color w:val="000000"/>
          <w:spacing w:val="20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20"/>
          <w:sz w:val="24"/>
          <w:szCs w:val="24"/>
          <w:lang w:val="it-IT"/>
        </w:rPr>
        <w:t>Estratto conto</w:t>
      </w:r>
    </w:p>
    <w:p w14:paraId="4F5FE412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>Copia bollettino postale del MAV</w:t>
      </w:r>
    </w:p>
    <w:p w14:paraId="2CBD7309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 xml:space="preserve">Copia dei pagamenti con </w:t>
      </w:r>
      <w:proofErr w:type="spellStart"/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>PagoPA</w:t>
      </w:r>
      <w:bookmarkStart w:id="0" w:name="_GoBack"/>
      <w:bookmarkEnd w:id="0"/>
      <w:proofErr w:type="spellEnd"/>
    </w:p>
    <w:p w14:paraId="7AF2FAB4" w14:textId="432E34B2" w:rsidR="009F51FA" w:rsidRDefault="00264F92" w:rsidP="00335618">
      <w:pPr>
        <w:ind w:left="72"/>
        <w:jc w:val="both"/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1"/>
          <w:sz w:val="24"/>
          <w:szCs w:val="24"/>
          <w:u w:val="single"/>
          <w:lang w:val="it-IT"/>
        </w:rPr>
        <w:t>In mancanza,</w:t>
      </w:r>
      <w:r w:rsidRPr="00335618">
        <w:rPr>
          <w:rFonts w:ascii="Times New Roman" w:hAnsi="Times New Roman"/>
          <w:i/>
          <w:color w:val="000000"/>
          <w:spacing w:val="11"/>
          <w:sz w:val="24"/>
          <w:szCs w:val="24"/>
          <w:lang w:val="it-IT"/>
        </w:rPr>
        <w:t xml:space="preserve"> l'utilizzo del mezzo di pagamento "tracciatile" </w:t>
      </w:r>
      <w:r w:rsidRPr="00335618">
        <w:rPr>
          <w:rFonts w:ascii="Times New Roman" w:hAnsi="Times New Roman"/>
          <w:b/>
          <w:i/>
          <w:color w:val="000000"/>
          <w:spacing w:val="11"/>
          <w:sz w:val="24"/>
          <w:szCs w:val="24"/>
          <w:u w:val="single"/>
          <w:lang w:val="it-IT"/>
        </w:rPr>
        <w:t xml:space="preserve">può essere documentato </w:t>
      </w:r>
      <w:r w:rsidRPr="00335618">
        <w:rPr>
          <w:rFonts w:ascii="Times New Roman" w:hAnsi="Times New Roman"/>
          <w:b/>
          <w:i/>
          <w:color w:val="000000"/>
          <w:spacing w:val="12"/>
          <w:sz w:val="24"/>
          <w:szCs w:val="24"/>
          <w:u w:val="single"/>
          <w:lang w:val="it-IT"/>
        </w:rPr>
        <w:t>mediante l'annotazione</w:t>
      </w:r>
      <w:r w:rsidRPr="00335618"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  <w:t xml:space="preserve"> in fattura, ricevuta fiscale o documento commerciale, </w:t>
      </w:r>
      <w:r w:rsidRPr="00335618">
        <w:rPr>
          <w:rFonts w:ascii="Times New Roman" w:hAnsi="Times New Roman"/>
          <w:b/>
          <w:i/>
          <w:color w:val="000000"/>
          <w:spacing w:val="12"/>
          <w:sz w:val="24"/>
          <w:szCs w:val="24"/>
          <w:lang w:val="it-IT"/>
        </w:rPr>
        <w:t xml:space="preserve">da parte </w:t>
      </w:r>
      <w:r w:rsidRPr="00335618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del percettore delle somme </w:t>
      </w:r>
      <w:r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che cede il bene o effettua la prestazione di servizio (così come </w:t>
      </w:r>
      <w:r w:rsidRPr="00335618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>indicato dall'interpello Ade n.431 del 02/10/2020).</w:t>
      </w:r>
    </w:p>
    <w:p w14:paraId="5EA86EFF" w14:textId="7EB720C6" w:rsidR="00392919" w:rsidRDefault="00392919" w:rsidP="00335618">
      <w:pPr>
        <w:ind w:left="72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4D17340" w14:textId="77777777" w:rsidR="00683DFC" w:rsidRDefault="00683DFC" w:rsidP="00683DFC">
      <w:pPr>
        <w:pStyle w:val="Corpotesto"/>
        <w:spacing w:line="268" w:lineRule="auto"/>
        <w:ind w:left="117" w:right="511" w:hanging="3"/>
      </w:pPr>
      <w:r>
        <w:rPr>
          <w:w w:val="95"/>
        </w:rPr>
        <w:t>Relativamente alle spese mediche la norma prevede la possibilità di pagare in contanti</w:t>
      </w:r>
      <w:r>
        <w:rPr>
          <w:spacing w:val="-64"/>
          <w:w w:val="95"/>
        </w:rPr>
        <w:t xml:space="preserve"> </w:t>
      </w:r>
      <w:r>
        <w:t>alcune</w:t>
      </w:r>
      <w:r>
        <w:rPr>
          <w:spacing w:val="12"/>
        </w:rPr>
        <w:t xml:space="preserve"> </w:t>
      </w:r>
      <w:r>
        <w:t>tipologie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spese:</w:t>
      </w:r>
    </w:p>
    <w:p w14:paraId="123F285B" w14:textId="77777777" w:rsidR="00683DFC" w:rsidRDefault="00683DFC" w:rsidP="00683DFC">
      <w:pPr>
        <w:pStyle w:val="Corpotesto"/>
        <w:rPr>
          <w:sz w:val="17"/>
        </w:rPr>
      </w:pPr>
    </w:p>
    <w:tbl>
      <w:tblPr>
        <w:tblStyle w:val="TableNormal"/>
        <w:tblW w:w="9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3359"/>
      </w:tblGrid>
      <w:tr w:rsidR="00683DFC" w:rsidRPr="00683DFC" w14:paraId="2F968178" w14:textId="77777777" w:rsidTr="003A22B0">
        <w:trPr>
          <w:trHeight w:val="560"/>
        </w:trPr>
        <w:tc>
          <w:tcPr>
            <w:tcW w:w="6529" w:type="dxa"/>
          </w:tcPr>
          <w:p w14:paraId="1BFBF730" w14:textId="77777777" w:rsidR="00683DFC" w:rsidRPr="00683DFC" w:rsidRDefault="00683DFC" w:rsidP="00C7343E">
            <w:pPr>
              <w:pStyle w:val="TableParagraph"/>
              <w:spacing w:before="136"/>
              <w:ind w:left="18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Tipologia</w:t>
            </w:r>
            <w:r w:rsidRPr="00683DFC">
              <w:rPr>
                <w:rFonts w:ascii="Times New Roman" w:hAnsi="Times New Roman" w:cs="Times New Roman"/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dl</w:t>
            </w:r>
            <w:r w:rsidRPr="00683DFC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acquisto</w:t>
            </w:r>
          </w:p>
        </w:tc>
        <w:tc>
          <w:tcPr>
            <w:tcW w:w="3359" w:type="dxa"/>
          </w:tcPr>
          <w:p w14:paraId="2C46B4E5" w14:textId="115CCB24" w:rsidR="00683DFC" w:rsidRPr="00683DFC" w:rsidRDefault="00683DFC" w:rsidP="00C7343E">
            <w:pPr>
              <w:pStyle w:val="TableParagraph"/>
              <w:spacing w:before="136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Obbligo</w:t>
            </w:r>
            <w:r w:rsidRPr="00683DFC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  <w:r w:rsidRPr="00683DFC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="00AD76D0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        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pagamento</w:t>
            </w:r>
            <w:r w:rsidRPr="00683DFC">
              <w:rPr>
                <w:rFonts w:ascii="Times New Roman" w:hAnsi="Times New Roman" w:cs="Times New Roman"/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tracciabile</w:t>
            </w:r>
          </w:p>
        </w:tc>
      </w:tr>
      <w:tr w:rsidR="00683DFC" w:rsidRPr="00683DFC" w14:paraId="527F920E" w14:textId="77777777" w:rsidTr="003A22B0">
        <w:trPr>
          <w:trHeight w:val="273"/>
        </w:trPr>
        <w:tc>
          <w:tcPr>
            <w:tcW w:w="6529" w:type="dxa"/>
          </w:tcPr>
          <w:p w14:paraId="3BF1AEFD" w14:textId="43006E52" w:rsidR="00683DFC" w:rsidRPr="00683DFC" w:rsidRDefault="00683DFC" w:rsidP="00C7343E">
            <w:pPr>
              <w:pStyle w:val="TableParagraph"/>
              <w:spacing w:before="3" w:line="25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Farmaci</w:t>
            </w:r>
            <w:r w:rsidRPr="00683DFC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ad</w:t>
            </w:r>
            <w:r w:rsidRPr="00683D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uso umano</w:t>
            </w:r>
            <w:r w:rsidRPr="00683DFC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con</w:t>
            </w:r>
            <w:r w:rsidRPr="00683D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sen</w:t>
            </w:r>
            <w:r w:rsidR="00E13BDF">
              <w:rPr>
                <w:rFonts w:ascii="Times New Roman" w:hAnsi="Times New Roman" w:cs="Times New Roman"/>
                <w:w w:val="95"/>
                <w:sz w:val="24"/>
                <w:szCs w:val="24"/>
              </w:rPr>
              <w:t>z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683D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ricetta</w:t>
            </w:r>
          </w:p>
        </w:tc>
        <w:tc>
          <w:tcPr>
            <w:tcW w:w="3359" w:type="dxa"/>
          </w:tcPr>
          <w:p w14:paraId="41D2E3F2" w14:textId="77777777" w:rsidR="00683DFC" w:rsidRPr="00683DFC" w:rsidRDefault="00683DFC" w:rsidP="002F747A">
            <w:pPr>
              <w:pStyle w:val="TableParagraph"/>
              <w:spacing w:line="253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4F39A412" w14:textId="77777777" w:rsidTr="003A22B0">
        <w:trPr>
          <w:trHeight w:val="268"/>
        </w:trPr>
        <w:tc>
          <w:tcPr>
            <w:tcW w:w="6529" w:type="dxa"/>
          </w:tcPr>
          <w:p w14:paraId="03130672" w14:textId="77777777" w:rsidR="00683DFC" w:rsidRPr="00683DFC" w:rsidRDefault="00683DFC" w:rsidP="00C7343E">
            <w:pPr>
              <w:pStyle w:val="TableParagraph"/>
              <w:spacing w:line="24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Farmaci</w:t>
            </w:r>
            <w:r w:rsidRPr="00683D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omeopatici</w:t>
            </w:r>
          </w:p>
        </w:tc>
        <w:tc>
          <w:tcPr>
            <w:tcW w:w="3359" w:type="dxa"/>
          </w:tcPr>
          <w:p w14:paraId="0BEAF159" w14:textId="77777777" w:rsidR="00683DFC" w:rsidRPr="00683DFC" w:rsidRDefault="00683DFC" w:rsidP="002F747A">
            <w:pPr>
              <w:pStyle w:val="TableParagraph"/>
              <w:spacing w:line="248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2DEAD042" w14:textId="77777777" w:rsidTr="003A22B0">
        <w:trPr>
          <w:trHeight w:val="743"/>
        </w:trPr>
        <w:tc>
          <w:tcPr>
            <w:tcW w:w="6529" w:type="dxa"/>
          </w:tcPr>
          <w:p w14:paraId="715834F9" w14:textId="77777777" w:rsidR="00683DFC" w:rsidRPr="00683DFC" w:rsidRDefault="00683DFC" w:rsidP="00C7343E">
            <w:pPr>
              <w:pStyle w:val="TableParagraph"/>
              <w:spacing w:line="22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Esami</w:t>
            </w:r>
            <w:r w:rsidRPr="00683DF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laboratorio,</w:t>
            </w:r>
            <w:r w:rsidRPr="00683DFC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ecografie,</w:t>
            </w:r>
            <w:r w:rsidRPr="00683DF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R.M.N.,</w:t>
            </w:r>
            <w:r w:rsidRPr="00683DF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T.A.C.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ecc.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</w:t>
            </w:r>
          </w:p>
          <w:p w14:paraId="5FF51B55" w14:textId="77777777" w:rsidR="00683DFC" w:rsidRPr="00683DFC" w:rsidRDefault="00683DFC" w:rsidP="00C7343E">
            <w:pPr>
              <w:pStyle w:val="TableParagraph"/>
              <w:spacing w:before="7" w:line="24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da strutture non accreditate dal Sistema Sanitario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</w:tc>
        <w:tc>
          <w:tcPr>
            <w:tcW w:w="3359" w:type="dxa"/>
          </w:tcPr>
          <w:p w14:paraId="592674DA" w14:textId="77777777" w:rsidR="00683DFC" w:rsidRPr="00683DFC" w:rsidRDefault="00683DFC" w:rsidP="002F74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BB65" w14:textId="77777777" w:rsidR="00683DFC" w:rsidRPr="00683DFC" w:rsidRDefault="00683DFC" w:rsidP="002F747A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683DFC" w:rsidRPr="00683DFC" w14:paraId="11D8BFF8" w14:textId="77777777" w:rsidTr="003A22B0">
        <w:trPr>
          <w:trHeight w:val="743"/>
        </w:trPr>
        <w:tc>
          <w:tcPr>
            <w:tcW w:w="6529" w:type="dxa"/>
          </w:tcPr>
          <w:p w14:paraId="24444128" w14:textId="77777777" w:rsidR="00683DFC" w:rsidRPr="00683DFC" w:rsidRDefault="00683DFC" w:rsidP="00C7343E">
            <w:pPr>
              <w:pStyle w:val="TableParagraph"/>
              <w:spacing w:line="226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Esami di</w:t>
            </w:r>
            <w:r w:rsidRPr="00683D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laboratorio,</w:t>
            </w:r>
            <w:r w:rsidRPr="00683DFC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ecografie, R.M.N.,</w:t>
            </w:r>
            <w:r w:rsidRPr="00683DF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T.A.C.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ecc.</w:t>
            </w:r>
            <w:r w:rsidRPr="00683D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</w:t>
            </w:r>
          </w:p>
          <w:p w14:paraId="69845274" w14:textId="77777777" w:rsidR="00683DFC" w:rsidRPr="00683DFC" w:rsidRDefault="00683DFC" w:rsidP="00C7343E">
            <w:pPr>
              <w:pStyle w:val="TableParagraph"/>
              <w:spacing w:before="9" w:line="244" w:lineRule="exact"/>
              <w:ind w:left="88"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da strutture convenzionate con il Sistema Sanitario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</w:tc>
        <w:tc>
          <w:tcPr>
            <w:tcW w:w="3359" w:type="dxa"/>
          </w:tcPr>
          <w:p w14:paraId="145C0B74" w14:textId="77777777" w:rsidR="00683DFC" w:rsidRPr="00683DFC" w:rsidRDefault="00683DFC" w:rsidP="002F747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166B" w14:textId="77777777" w:rsidR="00683DFC" w:rsidRPr="00683DFC" w:rsidRDefault="00683DFC" w:rsidP="002F747A">
            <w:pPr>
              <w:pStyle w:val="TableParagraph"/>
              <w:spacing w:line="26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03504F42" w14:textId="77777777" w:rsidTr="003A22B0">
        <w:trPr>
          <w:trHeight w:val="733"/>
        </w:trPr>
        <w:tc>
          <w:tcPr>
            <w:tcW w:w="6529" w:type="dxa"/>
          </w:tcPr>
          <w:p w14:paraId="4349504E" w14:textId="77777777" w:rsidR="00683DFC" w:rsidRPr="00683DFC" w:rsidRDefault="00683DFC" w:rsidP="00C7343E">
            <w:pPr>
              <w:pStyle w:val="TableParagraph"/>
              <w:spacing w:line="22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Dispositivi</w:t>
            </w:r>
            <w:r w:rsidRPr="00683DFC">
              <w:rPr>
                <w:rFonts w:ascii="Times New Roman" w:hAnsi="Times New Roman" w:cs="Times New Roman"/>
                <w:spacing w:val="56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medici</w:t>
            </w:r>
            <w:r w:rsidRPr="00683DFC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e</w:t>
            </w:r>
            <w:r w:rsidRPr="00683DFC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protesi</w:t>
            </w:r>
            <w:r w:rsidRPr="00683DFC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{tutori,</w:t>
            </w:r>
            <w:r w:rsidRPr="00683DFC">
              <w:rPr>
                <w:rFonts w:ascii="Times New Roman" w:hAnsi="Times New Roman" w:cs="Times New Roman"/>
                <w:spacing w:val="58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ginocchiere,</w:t>
            </w:r>
          </w:p>
          <w:p w14:paraId="6E9A978D" w14:textId="77777777" w:rsidR="00683DFC" w:rsidRPr="00683DFC" w:rsidRDefault="00683DFC" w:rsidP="00C7343E">
            <w:pPr>
              <w:pStyle w:val="TableParagraph"/>
              <w:spacing w:before="2" w:line="244" w:lineRule="exact"/>
              <w:ind w:left="9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cavigliere,</w:t>
            </w:r>
            <w:r w:rsidRPr="00683DFC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stampelle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ausili</w:t>
            </w:r>
            <w:r w:rsidRPr="00683D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per</w:t>
            </w:r>
            <w:r w:rsidRPr="00683D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</w:t>
            </w:r>
            <w:r w:rsidRPr="00683D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deambulazione</w:t>
            </w:r>
            <w:r w:rsidRPr="00683DFC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generale,</w:t>
            </w:r>
            <w:r w:rsidRPr="00683D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ecc.}</w:t>
            </w:r>
          </w:p>
        </w:tc>
        <w:tc>
          <w:tcPr>
            <w:tcW w:w="3359" w:type="dxa"/>
          </w:tcPr>
          <w:p w14:paraId="3BB4E68C" w14:textId="77777777" w:rsidR="00683DFC" w:rsidRPr="00683DFC" w:rsidRDefault="00683DFC" w:rsidP="002F747A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591C" w14:textId="77777777" w:rsidR="00683DFC" w:rsidRPr="00683DFC" w:rsidRDefault="00683DFC" w:rsidP="002F747A">
            <w:pPr>
              <w:pStyle w:val="TableParagraph"/>
              <w:spacing w:line="245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</w:tr>
      <w:tr w:rsidR="00683DFC" w:rsidRPr="00683DFC" w14:paraId="3E5C4F9B" w14:textId="77777777" w:rsidTr="003A22B0">
        <w:trPr>
          <w:trHeight w:val="273"/>
        </w:trPr>
        <w:tc>
          <w:tcPr>
            <w:tcW w:w="6529" w:type="dxa"/>
          </w:tcPr>
          <w:p w14:paraId="3AFD406A" w14:textId="77777777" w:rsidR="00683DFC" w:rsidRPr="00683DFC" w:rsidRDefault="00683DFC" w:rsidP="00C7343E">
            <w:pPr>
              <w:pStyle w:val="TableParagraph"/>
              <w:spacing w:before="3" w:line="250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Cure</w:t>
            </w:r>
            <w:r w:rsidRPr="00683DFC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odontoiatriche</w:t>
            </w:r>
            <w:r w:rsidRPr="00683D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presso</w:t>
            </w:r>
            <w:r w:rsidRPr="00683D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privato</w:t>
            </w:r>
          </w:p>
        </w:tc>
        <w:tc>
          <w:tcPr>
            <w:tcW w:w="3359" w:type="dxa"/>
          </w:tcPr>
          <w:p w14:paraId="209CE726" w14:textId="116B1DF7" w:rsidR="00683DFC" w:rsidRPr="00683DFC" w:rsidRDefault="00683DFC" w:rsidP="002F747A">
            <w:pPr>
              <w:pStyle w:val="TableParagraph"/>
              <w:spacing w:before="2" w:line="250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683DFC" w:rsidRPr="00683DFC" w14:paraId="1A5C3B2F" w14:textId="77777777" w:rsidTr="003A22B0">
        <w:trPr>
          <w:trHeight w:val="282"/>
        </w:trPr>
        <w:tc>
          <w:tcPr>
            <w:tcW w:w="6529" w:type="dxa"/>
          </w:tcPr>
          <w:p w14:paraId="7666CCFD" w14:textId="77777777" w:rsidR="00683DFC" w:rsidRPr="00683DFC" w:rsidRDefault="00683DFC" w:rsidP="00C7343E">
            <w:pPr>
              <w:pStyle w:val="TableParagraph"/>
              <w:spacing w:before="8" w:line="25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Cure</w:t>
            </w:r>
            <w:r w:rsidRPr="00683DF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odontoiatriche</w:t>
            </w:r>
            <w:r w:rsidRPr="00683D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presso soggetto</w:t>
            </w:r>
            <w:r w:rsidRPr="00683DF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convenzionato</w:t>
            </w:r>
          </w:p>
        </w:tc>
        <w:tc>
          <w:tcPr>
            <w:tcW w:w="3359" w:type="dxa"/>
          </w:tcPr>
          <w:p w14:paraId="60D30463" w14:textId="77777777" w:rsidR="00683DFC" w:rsidRPr="00683DFC" w:rsidRDefault="00683DFC" w:rsidP="002F747A">
            <w:pPr>
              <w:pStyle w:val="TableParagraph"/>
              <w:spacing w:before="7" w:line="255" w:lineRule="exact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</w:tr>
    </w:tbl>
    <w:p w14:paraId="52713A99" w14:textId="77777777" w:rsidR="00392919" w:rsidRPr="00335618" w:rsidRDefault="00392919" w:rsidP="00502E1D">
      <w:pPr>
        <w:jc w:val="both"/>
        <w:rPr>
          <w:rFonts w:ascii="Times New Roman" w:hAnsi="Times New Roman"/>
          <w:i/>
          <w:color w:val="000000"/>
          <w:spacing w:val="11"/>
          <w:sz w:val="24"/>
          <w:szCs w:val="24"/>
          <w:u w:val="single"/>
          <w:lang w:val="it-IT"/>
        </w:rPr>
      </w:pPr>
    </w:p>
    <w:sectPr w:rsidR="00392919" w:rsidRPr="00335618">
      <w:pgSz w:w="11918" w:h="16854"/>
      <w:pgMar w:top="1118" w:right="1259" w:bottom="1166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2266"/>
    <w:multiLevelType w:val="hybridMultilevel"/>
    <w:tmpl w:val="BC3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A1E"/>
    <w:multiLevelType w:val="multilevel"/>
    <w:tmpl w:val="F89E79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855E6"/>
    <w:multiLevelType w:val="multilevel"/>
    <w:tmpl w:val="3922353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27A33"/>
    <w:multiLevelType w:val="multilevel"/>
    <w:tmpl w:val="9774D8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i/>
        <w:strike w:val="0"/>
        <w:color w:val="000000"/>
        <w:spacing w:val="1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FA"/>
    <w:rsid w:val="00264F92"/>
    <w:rsid w:val="002F747A"/>
    <w:rsid w:val="00335618"/>
    <w:rsid w:val="00392919"/>
    <w:rsid w:val="003A22B0"/>
    <w:rsid w:val="00502E1D"/>
    <w:rsid w:val="005539BC"/>
    <w:rsid w:val="0062645B"/>
    <w:rsid w:val="00683DFC"/>
    <w:rsid w:val="009F0554"/>
    <w:rsid w:val="009F51FA"/>
    <w:rsid w:val="00A750CD"/>
    <w:rsid w:val="00AD76D0"/>
    <w:rsid w:val="00C71F03"/>
    <w:rsid w:val="00E13BDF"/>
    <w:rsid w:val="00E24688"/>
    <w:rsid w:val="00EC00EA"/>
    <w:rsid w:val="00F454D1"/>
    <w:rsid w:val="00F92176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364"/>
  <w15:docId w15:val="{95F3DFDD-665A-4F9D-8A3A-CE08B84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0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83DF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83DFC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3DFC"/>
    <w:rPr>
      <w:rFonts w:ascii="Bookman Old Style" w:eastAsia="Bookman Old Style" w:hAnsi="Bookman Old Style" w:cs="Bookman Old Style"/>
      <w:lang w:val="it-IT"/>
    </w:rPr>
  </w:style>
  <w:style w:type="paragraph" w:customStyle="1" w:styleId="TableParagraph">
    <w:name w:val="Table Paragraph"/>
    <w:basedOn w:val="Normale"/>
    <w:uiPriority w:val="1"/>
    <w:qFormat/>
    <w:rsid w:val="00683DFC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Uicto </cp:lastModifiedBy>
  <cp:revision>12</cp:revision>
  <cp:lastPrinted>2021-04-23T15:51:00Z</cp:lastPrinted>
  <dcterms:created xsi:type="dcterms:W3CDTF">2021-04-23T15:47:00Z</dcterms:created>
  <dcterms:modified xsi:type="dcterms:W3CDTF">2024-04-11T09:31:00Z</dcterms:modified>
</cp:coreProperties>
</file>